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77777777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Био</w:t>
      </w:r>
      <w:r>
        <w:rPr>
          <w:b/>
          <w:sz w:val="20"/>
          <w:szCs w:val="20"/>
          <w:lang w:val="kk-KZ"/>
        </w:rPr>
        <w:t>медицина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 xml:space="preserve">к.х.н., доц. </w:t>
      </w:r>
      <w:proofErr w:type="spellStart"/>
      <w:r w:rsidR="00C5618C">
        <w:rPr>
          <w:rStyle w:val="jlqj4b"/>
        </w:rPr>
        <w:t>Понаморенко</w:t>
      </w:r>
      <w:proofErr w:type="spellEnd"/>
      <w:r w:rsidR="00C5618C">
        <w:rPr>
          <w:rStyle w:val="jlqj4b"/>
        </w:rPr>
        <w:t xml:space="preserve">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 xml:space="preserve">и к.х.н., </w:t>
      </w:r>
      <w:proofErr w:type="spellStart"/>
      <w:r w:rsidR="0026743E">
        <w:rPr>
          <w:rStyle w:val="jlqj4b"/>
        </w:rPr>
        <w:t>ассоц</w:t>
      </w:r>
      <w:proofErr w:type="spellEnd"/>
      <w:r w:rsidR="0026743E">
        <w:rPr>
          <w:rStyle w:val="jlqj4b"/>
        </w:rPr>
        <w:t xml:space="preserve">. проф. </w:t>
      </w:r>
      <w:proofErr w:type="spellStart"/>
      <w:r w:rsidR="0026743E">
        <w:rPr>
          <w:rStyle w:val="jlqj4b"/>
        </w:rPr>
        <w:t>Дюсебаевой</w:t>
      </w:r>
      <w:proofErr w:type="spellEnd"/>
      <w:r w:rsidR="0026743E">
        <w:rPr>
          <w:rStyle w:val="jlqj4b"/>
        </w:rPr>
        <w:t xml:space="preserve">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</w:t>
      </w:r>
      <w:proofErr w:type="spellStart"/>
      <w:r w:rsidR="00C5618C">
        <w:rPr>
          <w:color w:val="000000"/>
        </w:rPr>
        <w:t>Уралбеков</w:t>
      </w:r>
      <w:proofErr w:type="spellEnd"/>
      <w:r w:rsidR="00C5618C">
        <w:rPr>
          <w:color w:val="000000"/>
        </w:rPr>
        <w:t xml:space="preserve">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 полимеров                                                   ______________      </w:t>
      </w:r>
      <w:proofErr w:type="spellStart"/>
      <w:r>
        <w:rPr>
          <w:color w:val="000000"/>
        </w:rPr>
        <w:t>Ирмухаметова</w:t>
      </w:r>
      <w:proofErr w:type="spellEnd"/>
      <w:r>
        <w:rPr>
          <w:color w:val="000000"/>
        </w:rPr>
        <w:t xml:space="preserve">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Основные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классы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неорганических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соединений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Кинетика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химических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реакций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Способы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выражения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концентрации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Сплавы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Алкены</w:t>
      </w:r>
      <w:proofErr w:type="spellEnd"/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proofErr w:type="spellStart"/>
      <w:r w:rsidRPr="00A65D65">
        <w:rPr>
          <w:rStyle w:val="jlqj4b"/>
          <w:b/>
          <w:lang w:val="en"/>
        </w:rPr>
        <w:t>Правила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проведения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экзаменационной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формы</w:t>
      </w:r>
      <w:proofErr w:type="spellEnd"/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3430F7" w14:textId="77777777" w:rsidR="00A65D65" w:rsidRPr="00A65D65" w:rsidRDefault="00A65D65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770A98AE" w14:textId="3B3D2153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6C90499D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7664F65B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1A4BF7AC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F6949A3" w14:textId="77777777" w:rsidR="0025320E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353AEF59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Глинка Н.А. Общая химия./ Под ред. </w:t>
      </w:r>
      <w:proofErr w:type="spellStart"/>
      <w:r w:rsidRPr="00E67C5A">
        <w:t>А.И.Ермакова</w:t>
      </w:r>
      <w:proofErr w:type="spellEnd"/>
      <w:r w:rsidRPr="00E67C5A">
        <w:t xml:space="preserve">. - 28-е изд., </w:t>
      </w:r>
      <w:proofErr w:type="spellStart"/>
      <w:r w:rsidRPr="00E67C5A">
        <w:t>перераб</w:t>
      </w:r>
      <w:proofErr w:type="spellEnd"/>
      <w:r w:rsidRPr="00E67C5A">
        <w:t>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Зайцев О. С. Задачи, упражнения и вопросы по химии. </w:t>
      </w:r>
      <w:proofErr w:type="spellStart"/>
      <w:r w:rsidRPr="00E67C5A">
        <w:t>Учебн</w:t>
      </w:r>
      <w:proofErr w:type="spellEnd"/>
      <w:r w:rsidRPr="00E67C5A">
        <w:t>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Угай</w:t>
      </w:r>
      <w:proofErr w:type="spellEnd"/>
      <w:r w:rsidRPr="00E67C5A">
        <w:t xml:space="preserve">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Куанышева</w:t>
      </w:r>
      <w:proofErr w:type="spellEnd"/>
      <w:r w:rsidRPr="00E67C5A">
        <w:t xml:space="preserve"> Г.С., </w:t>
      </w:r>
      <w:proofErr w:type="spellStart"/>
      <w:r w:rsidRPr="00E67C5A">
        <w:t>Буркитбаев</w:t>
      </w:r>
      <w:proofErr w:type="spellEnd"/>
      <w:r w:rsidRPr="00E67C5A">
        <w:t xml:space="preserve"> М.М., </w:t>
      </w:r>
      <w:proofErr w:type="spellStart"/>
      <w:r w:rsidRPr="00E67C5A">
        <w:t>Джамансариева</w:t>
      </w:r>
      <w:proofErr w:type="spellEnd"/>
      <w:r w:rsidRPr="00E67C5A">
        <w:t xml:space="preserve"> К.У. Краткий курс общей </w:t>
      </w:r>
      <w:r w:rsidRPr="00A65D65">
        <w:t xml:space="preserve">и неорганической химии. - Алматы: </w:t>
      </w:r>
      <w:proofErr w:type="spellStart"/>
      <w:r w:rsidRPr="00A65D65">
        <w:t>КазНУ</w:t>
      </w:r>
      <w:proofErr w:type="spellEnd"/>
      <w:r w:rsidRPr="00A65D65">
        <w:t>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65D65">
        <w:rPr>
          <w:rFonts w:ascii="Times New Roman" w:hAnsi="Times New Roman"/>
          <w:sz w:val="24"/>
          <w:szCs w:val="24"/>
        </w:rPr>
        <w:t>Грандберг</w:t>
      </w:r>
      <w:proofErr w:type="spellEnd"/>
      <w:r w:rsidRPr="00A65D65">
        <w:rPr>
          <w:rFonts w:ascii="Times New Roman" w:hAnsi="Times New Roman"/>
          <w:sz w:val="24"/>
          <w:szCs w:val="24"/>
        </w:rPr>
        <w:t xml:space="preserve">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38AF1A8D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2F9BCD6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61BD61C7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3EE0F29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0AD64F03" w14:textId="77777777" w:rsidR="007C17BC" w:rsidRPr="001A6F5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lastRenderedPageBreak/>
        <w:t>КАЗАХСКИЙ НАЦИОНАЛЬНЫЙ УНИВЕРСИТЕТ ИМЕНИ АЛЬ-ФАРАБИ</w:t>
      </w:r>
    </w:p>
    <w:p w14:paraId="5AA1EC85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0FBA0A2" w14:textId="77777777" w:rsidR="007C17BC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204E131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6E3E06BB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5C951D6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5F96FB9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E3DFE7C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6B58AAD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439F0B7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4787BCC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D6120DD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5236959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131519B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2B878DB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0A548D5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68BEC64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79C967C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right"/>
      </w:pPr>
    </w:p>
    <w:p w14:paraId="3EA05E1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294790B9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Pr="0026743E">
        <w:rPr>
          <w:rStyle w:val="jlqj4b"/>
          <w:b/>
          <w:bCs/>
        </w:rPr>
        <w:t>»</w:t>
      </w:r>
    </w:p>
    <w:p w14:paraId="3987CB4B" w14:textId="77777777" w:rsidR="007C17BC" w:rsidRPr="00E42C9A" w:rsidRDefault="007C17BC" w:rsidP="007C17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Био</w:t>
      </w:r>
      <w:r>
        <w:rPr>
          <w:b/>
          <w:sz w:val="20"/>
          <w:szCs w:val="20"/>
          <w:lang w:val="kk-KZ"/>
        </w:rPr>
        <w:t>медицина</w:t>
      </w:r>
      <w:r w:rsidRPr="00E42C9A">
        <w:rPr>
          <w:b/>
          <w:sz w:val="20"/>
          <w:szCs w:val="20"/>
        </w:rPr>
        <w:t>»</w:t>
      </w:r>
    </w:p>
    <w:p w14:paraId="298EDE07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68E88DF4" w14:textId="77777777" w:rsidR="007C17BC" w:rsidRPr="0026743E" w:rsidRDefault="007C17BC" w:rsidP="007C17BC">
      <w:pPr>
        <w:tabs>
          <w:tab w:val="left" w:pos="284"/>
          <w:tab w:val="left" w:pos="851"/>
        </w:tabs>
        <w:ind w:firstLine="567"/>
        <w:jc w:val="center"/>
      </w:pPr>
    </w:p>
    <w:p w14:paraId="3C9ABA8F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16F3CF87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26D1DC6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F1C037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BD60C5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C36210E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39F1ED5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A6EA36D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1180627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4E4F3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841BE9C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D3A210A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A12699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F6930CC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18200BD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3632B9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E8C7DB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1EC006B0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7CD57BE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ABEAA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7D556E84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17DAF18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DB3105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3986FE00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0ACB0D69" w14:textId="77777777" w:rsidR="007C17BC" w:rsidRPr="0026743E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ACE2C98" w14:textId="77777777" w:rsidR="007C17BC" w:rsidRPr="00782B2D" w:rsidRDefault="007C17BC" w:rsidP="007C17BC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Pr="00782B2D">
        <w:rPr>
          <w:b/>
        </w:rPr>
        <w:t>202</w:t>
      </w:r>
      <w:r>
        <w:rPr>
          <w:b/>
        </w:rPr>
        <w:t>5</w:t>
      </w:r>
    </w:p>
    <w:p w14:paraId="42918694" w14:textId="77777777" w:rsidR="007C17BC" w:rsidRPr="00782B2D" w:rsidRDefault="007C17BC" w:rsidP="007C17BC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Pr="00782B2D">
        <w:rPr>
          <w:rStyle w:val="jlqj4b"/>
        </w:rPr>
        <w:lastRenderedPageBreak/>
        <w:t>Программа выпускного экзамена по дисциплине составлена</w:t>
      </w:r>
      <w:r>
        <w:rPr>
          <w:rStyle w:val="jlqj4b"/>
        </w:rPr>
        <w:t xml:space="preserve"> к.х.н., доц. </w:t>
      </w:r>
      <w:proofErr w:type="spellStart"/>
      <w:r>
        <w:rPr>
          <w:rStyle w:val="jlqj4b"/>
        </w:rPr>
        <w:t>Понаморенко</w:t>
      </w:r>
      <w:proofErr w:type="spellEnd"/>
      <w:r>
        <w:rPr>
          <w:rStyle w:val="jlqj4b"/>
        </w:rPr>
        <w:t xml:space="preserve"> О.И.</w:t>
      </w:r>
      <w:r w:rsidRPr="00782B2D">
        <w:rPr>
          <w:rStyle w:val="jlqj4b"/>
        </w:rPr>
        <w:t xml:space="preserve"> </w:t>
      </w:r>
      <w:r>
        <w:rPr>
          <w:rStyle w:val="jlqj4b"/>
        </w:rPr>
        <w:t xml:space="preserve">и к.х.н., </w:t>
      </w:r>
      <w:proofErr w:type="spellStart"/>
      <w:r>
        <w:rPr>
          <w:rStyle w:val="jlqj4b"/>
        </w:rPr>
        <w:t>ассоц</w:t>
      </w:r>
      <w:proofErr w:type="spellEnd"/>
      <w:r>
        <w:rPr>
          <w:rStyle w:val="jlqj4b"/>
        </w:rPr>
        <w:t xml:space="preserve">. проф. </w:t>
      </w:r>
      <w:proofErr w:type="spellStart"/>
      <w:r>
        <w:rPr>
          <w:rStyle w:val="jlqj4b"/>
        </w:rPr>
        <w:t>Дюсебаевой</w:t>
      </w:r>
      <w:proofErr w:type="spellEnd"/>
      <w:r>
        <w:rPr>
          <w:rStyle w:val="jlqj4b"/>
        </w:rPr>
        <w:t xml:space="preserve"> М.А.</w:t>
      </w:r>
    </w:p>
    <w:p w14:paraId="63E4C0EB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59C9D97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2FA8081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5C4A2E3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</w:p>
    <w:p w14:paraId="24DCF7F6" w14:textId="77777777" w:rsidR="007C17BC" w:rsidRPr="00C748F3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>
        <w:rPr>
          <w:color w:val="000000"/>
        </w:rPr>
        <w:t>6</w:t>
      </w:r>
      <w:r w:rsidRPr="00C748F3">
        <w:rPr>
          <w:color w:val="000000"/>
        </w:rPr>
        <w:t xml:space="preserve"> от «</w:t>
      </w:r>
      <w:r>
        <w:rPr>
          <w:color w:val="000000"/>
        </w:rPr>
        <w:t>17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>
        <w:rPr>
          <w:color w:val="000000"/>
          <w:lang w:val="kk-KZ"/>
        </w:rPr>
        <w:t>01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4C21605F" w14:textId="77777777" w:rsidR="007C17BC" w:rsidRPr="00C748F3" w:rsidRDefault="007C17BC" w:rsidP="007C17BC">
      <w:pPr>
        <w:jc w:val="both"/>
        <w:rPr>
          <w:color w:val="000000"/>
        </w:rPr>
      </w:pPr>
    </w:p>
    <w:p w14:paraId="377B0BB5" w14:textId="77777777" w:rsidR="007C17BC" w:rsidRPr="00C748F3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67CE783" w14:textId="77777777" w:rsidR="007C17BC" w:rsidRDefault="007C17BC" w:rsidP="007C17BC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>
        <w:rPr>
          <w:color w:val="000000"/>
        </w:rPr>
        <w:t xml:space="preserve">              </w:t>
      </w:r>
      <w:proofErr w:type="spellStart"/>
      <w:r>
        <w:rPr>
          <w:color w:val="000000"/>
        </w:rPr>
        <w:t>Уралбеков</w:t>
      </w:r>
      <w:proofErr w:type="spellEnd"/>
      <w:r>
        <w:rPr>
          <w:color w:val="000000"/>
        </w:rPr>
        <w:t xml:space="preserve"> Б.М</w:t>
      </w:r>
      <w:r w:rsidRPr="00C748F3">
        <w:rPr>
          <w:color w:val="000000"/>
        </w:rPr>
        <w:t>.</w:t>
      </w:r>
    </w:p>
    <w:p w14:paraId="00CA4E62" w14:textId="77777777" w:rsidR="007C17BC" w:rsidRDefault="007C17BC" w:rsidP="007C17BC">
      <w:pPr>
        <w:ind w:firstLine="567"/>
        <w:jc w:val="both"/>
        <w:rPr>
          <w:color w:val="000000"/>
        </w:rPr>
      </w:pPr>
    </w:p>
    <w:p w14:paraId="6C2DA525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2E256857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6C20A632" w14:textId="77777777" w:rsidR="007C17BC" w:rsidRDefault="007C17BC" w:rsidP="007C17BC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 полимеров                                                   ______________      </w:t>
      </w:r>
      <w:proofErr w:type="spellStart"/>
      <w:r>
        <w:rPr>
          <w:color w:val="000000"/>
        </w:rPr>
        <w:t>Ирмухаметова</w:t>
      </w:r>
      <w:proofErr w:type="spellEnd"/>
      <w:r>
        <w:rPr>
          <w:color w:val="000000"/>
        </w:rPr>
        <w:t xml:space="preserve"> Г.С.</w:t>
      </w:r>
    </w:p>
    <w:p w14:paraId="3B94CF24" w14:textId="77777777" w:rsidR="007C17BC" w:rsidRPr="00C748F3" w:rsidRDefault="007C17BC" w:rsidP="007C17BC">
      <w:pPr>
        <w:ind w:firstLine="567"/>
        <w:jc w:val="both"/>
        <w:rPr>
          <w:color w:val="000000"/>
        </w:rPr>
      </w:pPr>
    </w:p>
    <w:p w14:paraId="56DB5F09" w14:textId="77777777" w:rsidR="007C17BC" w:rsidRPr="00C748F3" w:rsidRDefault="007C17BC" w:rsidP="007C17BC">
      <w:pPr>
        <w:rPr>
          <w:color w:val="000000"/>
        </w:rPr>
      </w:pPr>
    </w:p>
    <w:p w14:paraId="38D9B6A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</w:pPr>
    </w:p>
    <w:p w14:paraId="134040F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23081A1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08DDDB9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423D232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3E79F14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729D20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6C7C2A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EE4349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3C377AD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CD2FF5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9B729F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788FD7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D700DC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ECC6AF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FAAD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6B9EDA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DEB039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B1B806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918E4E0" w14:textId="77777777" w:rsidR="007C17BC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B1144E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08D68D2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BFB39E6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FE8FED3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884CF6E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165C3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6DC9F1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8D031E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616A71C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1E15A841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3FE4793D" w14:textId="77777777" w:rsidR="007C17BC" w:rsidRPr="00782B2D" w:rsidRDefault="007C17BC" w:rsidP="007C17BC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B0BF8C5" w14:textId="77777777" w:rsidR="007C17BC" w:rsidRPr="00782B2D" w:rsidRDefault="007C17BC" w:rsidP="007C17BC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55536EB6" w14:textId="77777777" w:rsidR="007C17BC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7CCB3174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1A351A37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23B7931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3EA4EBAC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57F1F908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8EB86B0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7E9B0585" w14:textId="77777777" w:rsidR="007C17BC" w:rsidRPr="00782B2D" w:rsidRDefault="007C17BC" w:rsidP="007C17BC">
      <w:pPr>
        <w:tabs>
          <w:tab w:val="left" w:pos="284"/>
          <w:tab w:val="left" w:pos="851"/>
        </w:tabs>
        <w:ind w:firstLine="567"/>
      </w:pPr>
    </w:p>
    <w:p w14:paraId="1C2FBBA0" w14:textId="77777777" w:rsidR="007C17BC" w:rsidRPr="00782B2D" w:rsidRDefault="007C17BC" w:rsidP="007C17BC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Pr="00782B2D">
        <w:rPr>
          <w:bCs/>
        </w:rPr>
        <w:t>.</w:t>
      </w:r>
    </w:p>
    <w:p w14:paraId="6E3DA9C9" w14:textId="77777777" w:rsidR="007C17BC" w:rsidRPr="00782B2D" w:rsidRDefault="007C17BC" w:rsidP="007C17BC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EA77ADB" w14:textId="77777777" w:rsidR="007C17BC" w:rsidRPr="00953BEA" w:rsidRDefault="007C17BC" w:rsidP="007C17BC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0A2100B3" w14:textId="77777777" w:rsidR="007C17BC" w:rsidRPr="0026743E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2F247E0A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Основные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классы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неорганических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соединений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6040327" w14:textId="77777777" w:rsidR="007C17BC" w:rsidRPr="0026743E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02F9A785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Кинетика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химических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реакций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3E9C3D35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Способы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выражения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концентрации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AE4F453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C7DC502" w14:textId="77777777" w:rsidR="007C17BC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Сплавы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FFBA1B0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0376AD1D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7ADBF2A5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Алкены</w:t>
      </w:r>
      <w:proofErr w:type="spellEnd"/>
    </w:p>
    <w:p w14:paraId="62F89E39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76DADB54" w14:textId="77777777" w:rsidR="007C17BC" w:rsidRPr="00A65D65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451D1190" w14:textId="77777777" w:rsidR="007C17BC" w:rsidRPr="00953BEA" w:rsidRDefault="007C17BC" w:rsidP="007C17BC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07379875" w14:textId="77777777" w:rsidR="007C17BC" w:rsidRPr="003343CF" w:rsidRDefault="007C17BC" w:rsidP="007C17BC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7AE07D7E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proofErr w:type="spellStart"/>
      <w:r w:rsidRPr="00A65D65">
        <w:rPr>
          <w:rStyle w:val="jlqj4b"/>
          <w:b/>
          <w:lang w:val="en"/>
        </w:rPr>
        <w:t>Правила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проведения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экзаменационной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формы</w:t>
      </w:r>
      <w:proofErr w:type="spellEnd"/>
    </w:p>
    <w:p w14:paraId="113B456F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>1. Письменные экзамены проводятся в соответствии с утвержденным графиком.</w:t>
      </w:r>
    </w:p>
    <w:p w14:paraId="29E37424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2. 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15EB4121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3. 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7D2E3D5E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4. Опоздавшие студенты не допускаются к сдаче экзамена.</w:t>
      </w:r>
    </w:p>
    <w:p w14:paraId="71F529B2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5. 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654D76E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6. Время начала и окончания письменного экзамена записывается на доске.</w:t>
      </w:r>
    </w:p>
    <w:p w14:paraId="67D6F1F3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7. Время, отведенное на письменный экзамен, составляет 60 минут на каждый вопрос.</w:t>
      </w:r>
    </w:p>
    <w:p w14:paraId="3C0CF169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8. Во время письменного экзамена вопросы студентов по содержанию экзаменационных работ не рассматриваются.</w:t>
      </w:r>
    </w:p>
    <w:p w14:paraId="579625D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>9. 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36362A4E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10. 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5701C894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>11. 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7A78B239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35A3A75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78156D2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77EC9898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AA6E50C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Pr="00E53D09">
        <w:rPr>
          <w:i/>
        </w:rPr>
        <w:t>:</w:t>
      </w:r>
    </w:p>
    <w:p w14:paraId="7FADD180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A4B1B07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3E58BB60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6D1937ED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7B836812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7B3C66CF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5740FF2B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738A0B14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11D80524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2749E7C2" w14:textId="77777777" w:rsidR="007C17BC" w:rsidRPr="00E53D09" w:rsidRDefault="007C17BC" w:rsidP="007C17BC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594CC15C" w14:textId="77777777" w:rsidR="007C17BC" w:rsidRPr="00E53D09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запрещается:</w:t>
      </w:r>
    </w:p>
    <w:p w14:paraId="70A2D5FD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31F83682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1A4FECC6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073B2FB7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4A23369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5D9AF1E6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1C3EEB95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34E0839A" w14:textId="77777777" w:rsidR="007C17BC" w:rsidRPr="00E53D09" w:rsidRDefault="007C17BC" w:rsidP="007C17BC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242587EF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4EDC9F42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jc w:val="both"/>
      </w:pPr>
    </w:p>
    <w:p w14:paraId="00D6931A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Pr="00E67C5A">
        <w:rPr>
          <w:i/>
        </w:rPr>
        <w:t>:</w:t>
      </w:r>
    </w:p>
    <w:p w14:paraId="42D6040B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2765EB4C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0C0084A0" w14:textId="77777777" w:rsidR="007C17BC" w:rsidRPr="00E67C5A" w:rsidRDefault="007C17BC" w:rsidP="007C17BC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часов.</w:t>
      </w:r>
    </w:p>
    <w:p w14:paraId="0AECA294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25C0F0" w14:textId="77777777" w:rsidR="007C17BC" w:rsidRPr="00A65D65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4A67815E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7FDAC63E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06F4233A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5EF80E5B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D4BB24A" w14:textId="77777777" w:rsidR="007C17BC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0C03BD0B" w14:textId="77777777" w:rsidR="007C17BC" w:rsidRPr="00E67C5A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067801BA" w14:textId="77777777" w:rsidR="007C17BC" w:rsidRPr="00E67C5A" w:rsidRDefault="007C17BC" w:rsidP="007C17BC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44E6EEEC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6A68AFF8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Глинка Н.А. Общая химия./ Под ред. </w:t>
      </w:r>
      <w:proofErr w:type="spellStart"/>
      <w:r w:rsidRPr="00E67C5A">
        <w:t>А.И.Ермакова</w:t>
      </w:r>
      <w:proofErr w:type="spellEnd"/>
      <w:r w:rsidRPr="00E67C5A">
        <w:t xml:space="preserve">. - 28-е изд., </w:t>
      </w:r>
      <w:proofErr w:type="spellStart"/>
      <w:r w:rsidRPr="00E67C5A">
        <w:t>перераб</w:t>
      </w:r>
      <w:proofErr w:type="spellEnd"/>
      <w:r w:rsidRPr="00E67C5A">
        <w:t>, и доп.- М.: Интеграл-Пресс, 2013. - 728 с.</w:t>
      </w:r>
    </w:p>
    <w:p w14:paraId="4D33ADEF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2A498CB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Зайцев О. С. Задачи, упражнения и вопросы по химии. </w:t>
      </w:r>
      <w:proofErr w:type="spellStart"/>
      <w:r w:rsidRPr="00E67C5A">
        <w:t>Учебн</w:t>
      </w:r>
      <w:proofErr w:type="spellEnd"/>
      <w:r w:rsidRPr="00E67C5A">
        <w:t>. пособие для вузов. М., Химия, 1996. — 432 с.</w:t>
      </w:r>
    </w:p>
    <w:p w14:paraId="0F867DF7" w14:textId="77777777" w:rsidR="007C17BC" w:rsidRPr="00E67C5A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Угай</w:t>
      </w:r>
      <w:proofErr w:type="spellEnd"/>
      <w:r w:rsidRPr="00E67C5A">
        <w:t xml:space="preserve">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9B1485" w14:textId="77777777" w:rsidR="007C17BC" w:rsidRPr="00A65D65" w:rsidRDefault="007C17BC" w:rsidP="007C17BC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Куанышева</w:t>
      </w:r>
      <w:proofErr w:type="spellEnd"/>
      <w:r w:rsidRPr="00E67C5A">
        <w:t xml:space="preserve"> Г.С., </w:t>
      </w:r>
      <w:proofErr w:type="spellStart"/>
      <w:r w:rsidRPr="00E67C5A">
        <w:t>Буркитбаев</w:t>
      </w:r>
      <w:proofErr w:type="spellEnd"/>
      <w:r w:rsidRPr="00E67C5A">
        <w:t xml:space="preserve"> М.М., </w:t>
      </w:r>
      <w:proofErr w:type="spellStart"/>
      <w:r w:rsidRPr="00E67C5A">
        <w:t>Джамансариева</w:t>
      </w:r>
      <w:proofErr w:type="spellEnd"/>
      <w:r w:rsidRPr="00E67C5A">
        <w:t xml:space="preserve"> К.У. Краткий курс общей </w:t>
      </w:r>
      <w:r w:rsidRPr="00A65D65">
        <w:t xml:space="preserve">и неорганической химии. - Алматы: </w:t>
      </w:r>
      <w:proofErr w:type="spellStart"/>
      <w:r w:rsidRPr="00A65D65">
        <w:t>КазНУ</w:t>
      </w:r>
      <w:proofErr w:type="spellEnd"/>
      <w:r w:rsidRPr="00A65D65">
        <w:t>, 2008. - 210с.</w:t>
      </w:r>
    </w:p>
    <w:p w14:paraId="196EF71A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510A708B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65D65">
        <w:rPr>
          <w:rFonts w:ascii="Times New Roman" w:hAnsi="Times New Roman"/>
          <w:sz w:val="24"/>
          <w:szCs w:val="24"/>
        </w:rPr>
        <w:t>Грандберг</w:t>
      </w:r>
      <w:proofErr w:type="spellEnd"/>
      <w:r w:rsidRPr="00A65D65">
        <w:rPr>
          <w:rFonts w:ascii="Times New Roman" w:hAnsi="Times New Roman"/>
          <w:sz w:val="24"/>
          <w:szCs w:val="24"/>
        </w:rPr>
        <w:t xml:space="preserve">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188C6502" w14:textId="77777777" w:rsidR="007C17BC" w:rsidRPr="00A65D65" w:rsidRDefault="007C17BC" w:rsidP="007C17BC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5D0BAF67" w14:textId="77777777" w:rsidR="007C17BC" w:rsidRPr="00A65D65" w:rsidRDefault="007C17BC" w:rsidP="007C17BC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2454ECAB" w14:textId="77777777" w:rsidR="007C17BC" w:rsidRPr="00A65D65" w:rsidRDefault="007C17BC" w:rsidP="007C17BC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69082553" w14:textId="77777777" w:rsidR="007C17BC" w:rsidRPr="00A65D65" w:rsidRDefault="007C17BC" w:rsidP="007C17BC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788CCCBF" w14:textId="77777777" w:rsidR="007C17BC" w:rsidRPr="003343CF" w:rsidRDefault="007C17BC" w:rsidP="007C17BC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4C97B54B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7312EC76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3806727D" w14:textId="77777777" w:rsidR="007C17BC" w:rsidRDefault="007C17BC" w:rsidP="007C17BC">
      <w:pPr>
        <w:tabs>
          <w:tab w:val="left" w:pos="284"/>
          <w:tab w:val="left" w:pos="851"/>
        </w:tabs>
        <w:ind w:firstLine="567"/>
      </w:pPr>
    </w:p>
    <w:p w14:paraId="6A62F68E" w14:textId="77777777" w:rsidR="007C17BC" w:rsidRDefault="007C17BC" w:rsidP="007C17BC">
      <w:pPr>
        <w:tabs>
          <w:tab w:val="left" w:pos="284"/>
          <w:tab w:val="left" w:pos="851"/>
        </w:tabs>
        <w:ind w:firstLine="567"/>
        <w:sectPr w:rsidR="007C17BC" w:rsidSect="007C17BC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1999AEC" w14:textId="06EDBE5C" w:rsidR="007C17BC" w:rsidRPr="000D3944" w:rsidRDefault="007C17BC" w:rsidP="007C17BC">
      <w:pPr>
        <w:tabs>
          <w:tab w:val="left" w:pos="284"/>
          <w:tab w:val="left" w:pos="851"/>
        </w:tabs>
        <w:jc w:val="center"/>
        <w:rPr>
          <w:lang w:val="ru-KZ"/>
        </w:rPr>
      </w:pPr>
      <w:r w:rsidRPr="000D3944">
        <w:rPr>
          <w:b/>
          <w:bCs/>
          <w:lang w:val="ru-KZ"/>
        </w:rPr>
        <w:lastRenderedPageBreak/>
        <w:t>РУБРИКАТОР КРИТЕРИАЛЬНОГО ОЦЕНИВАНИЯ ИТОГОВОГО КОНТРОЛЯ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1937"/>
        <w:gridCol w:w="1021"/>
        <w:gridCol w:w="1290"/>
        <w:gridCol w:w="2408"/>
        <w:gridCol w:w="1423"/>
        <w:gridCol w:w="1561"/>
        <w:gridCol w:w="1555"/>
        <w:gridCol w:w="1705"/>
      </w:tblGrid>
      <w:tr w:rsidR="007C17BC" w:rsidRPr="000D3944" w14:paraId="590733C8" w14:textId="77777777" w:rsidTr="007726DE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408" w:type="pct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93AC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>Дисциплина</w:t>
            </w:r>
            <w:r w:rsidRPr="000D3944">
              <w:rPr>
                <w:lang w:val="ru-KZ"/>
              </w:rPr>
              <w:t xml:space="preserve">: Основы химической физики. </w:t>
            </w:r>
            <w:r w:rsidRPr="000D3944">
              <w:rPr>
                <w:b/>
                <w:bCs/>
                <w:lang w:val="ru-KZ"/>
              </w:rPr>
              <w:t xml:space="preserve">Форма: </w:t>
            </w:r>
            <w:r w:rsidRPr="000D3944">
              <w:rPr>
                <w:lang w:val="ru-KZ"/>
              </w:rPr>
              <w:t>Стандартный устный</w:t>
            </w:r>
            <w:r w:rsidRPr="000D3944">
              <w:rPr>
                <w:b/>
                <w:bCs/>
                <w:lang w:val="ru-KZ"/>
              </w:rPr>
              <w:t xml:space="preserve">. Платформа: </w:t>
            </w:r>
            <w:r w:rsidRPr="000D3944">
              <w:rPr>
                <w:lang w:val="ru-KZ"/>
              </w:rPr>
              <w:t xml:space="preserve">ИС «Универ» / Microsoft </w:t>
            </w:r>
            <w:proofErr w:type="spellStart"/>
            <w:r w:rsidRPr="000D3944">
              <w:rPr>
                <w:lang w:val="ru-KZ"/>
              </w:rPr>
              <w:t>Teams</w:t>
            </w:r>
            <w:proofErr w:type="spellEnd"/>
            <w:r w:rsidRPr="000D3944">
              <w:rPr>
                <w:lang w:val="ru-KZ"/>
              </w:rPr>
              <w:t xml:space="preserve"> </w:t>
            </w:r>
            <w:r w:rsidRPr="000D3944">
              <w:rPr>
                <w:b/>
                <w:bCs/>
                <w:lang w:val="ru-KZ"/>
              </w:rPr>
              <w:t xml:space="preserve">№ </w:t>
            </w:r>
          </w:p>
        </w:tc>
        <w:tc>
          <w:tcPr>
            <w:tcW w:w="1850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1E068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Балл </w:t>
            </w:r>
          </w:p>
          <w:p w14:paraId="56FABB04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Критерий </w:t>
            </w:r>
          </w:p>
        </w:tc>
        <w:tc>
          <w:tcPr>
            <w:tcW w:w="1742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55BF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ДЕСКРИПТОРЫ </w:t>
            </w:r>
          </w:p>
        </w:tc>
      </w:tr>
      <w:tr w:rsidR="007C17BC" w:rsidRPr="000D3944" w14:paraId="14803356" w14:textId="77777777" w:rsidTr="007726D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5A5A19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«Отлично»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2DC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«Хорошо»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BE3B7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«Удовлетворительно» </w:t>
            </w:r>
          </w:p>
        </w:tc>
        <w:tc>
          <w:tcPr>
            <w:tcW w:w="11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EBB4B4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«Неудовлетворительно» </w:t>
            </w:r>
          </w:p>
        </w:tc>
      </w:tr>
      <w:tr w:rsidR="007C17BC" w:rsidRPr="000D3944" w14:paraId="66EB9B0A" w14:textId="77777777" w:rsidTr="007C17BC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3E2AD5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90-100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DF6E3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70-89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51D3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50-69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854FB" w14:textId="63AAA660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25-49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D0CA3E" w14:textId="77777777" w:rsidR="007C17BC" w:rsidRPr="000D3944" w:rsidRDefault="007C17BC" w:rsidP="007C17BC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0-24 </w:t>
            </w:r>
            <w:r w:rsidRPr="000D3944">
              <w:rPr>
                <w:lang w:val="ru-KZ"/>
              </w:rPr>
              <w:t xml:space="preserve">% </w:t>
            </w:r>
          </w:p>
        </w:tc>
      </w:tr>
      <w:tr w:rsidR="007C17BC" w:rsidRPr="000D3944" w14:paraId="6ABACF68" w14:textId="77777777" w:rsidTr="007726DE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A7CBD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1 вопрос </w:t>
            </w:r>
          </w:p>
          <w:p w14:paraId="7B43BE95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3656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Знание и понимание теории и концепций курса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6AD7C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«Отлично» ставится за всестороннее объяснение вопроса, с подробным обоснованием каждого вывода и утверждения, логически структурированным и подкрепленным примерами из разработанной темы.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A525F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«Хорошо» ставится ответу, который не полностью раскрывает вопрос, содержит сокращенную аргументацию основных правил, позволяет нарушить логику и порядок изложения материала. Стилистические ошибки и неправильное употребление терминов не являются препятствием для ответа.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70F0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«Удовлетворительно» ставится ответу, который не полностью освещает представленные в билете вопросы, поверхностно доказывает основные идеи, допускает композиционные несбалансированности повествования, нарушает логику и последовательность материала повествования. Теоретические идеи не представлены примерами.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87DF2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Недостаточное освещение вопросов, неправильные рассуждения, фактические и словесные ошибки, прогнозирование неверного вывода.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D4973E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lang w:val="ru-KZ"/>
              </w:rPr>
              <w:t xml:space="preserve">Не знает элементарных понятий, теорий; Нарушение правил итогового контроля. </w:t>
            </w:r>
          </w:p>
        </w:tc>
      </w:tr>
      <w:tr w:rsidR="007C17BC" w:rsidRPr="000D3944" w14:paraId="614C0CD2" w14:textId="77777777" w:rsidTr="007726DE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B3B73A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lastRenderedPageBreak/>
              <w:t xml:space="preserve">2 вопрос </w:t>
            </w:r>
          </w:p>
          <w:p w14:paraId="5888FBDE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35EA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Применение выбранной методологии и технологии к реальным практическим задачам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2C877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Ответ на вопрос в полном объеме, дает развернутый, аргументированный ответ на вопрос, а затем решение практических задач курса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165F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На вопрос отвечает частично, не полностью, дает аргументированный ответ на поставленный вопрос без полного решения практических задач курса; неграмотное использование норм научного языка по курсу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2257A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Материал фрагментирован, нарушая логическую последовательность, допускаются фактические и смысловые неточности, теоретические знания курса применяются поверхностно.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48440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Нерациональный способ решения задачи или недостаточно продуманный план реагирования; неумение решать задачи, выполнять задачи в целом.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32574D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Неумение использовать знания и алгоритмы для решения задач; неумение делать выводы и выводы. Нарушение правил итогового контроля. </w:t>
            </w:r>
          </w:p>
        </w:tc>
      </w:tr>
      <w:tr w:rsidR="007C17BC" w:rsidRPr="000D3944" w14:paraId="10BD68BD" w14:textId="77777777" w:rsidTr="007726DE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94CB33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 вопрос </w:t>
            </w:r>
          </w:p>
          <w:p w14:paraId="1044477C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34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71F5D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Оценка и анализ применения выбранной методики к предлагаемой практической задаче,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AF8EB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Последовательное, логичное и правильное обоснование научной позиции и применяемой методологии и технологии, соблюдение норм грамотности и научного языка, в изложении материала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C29D0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Допускаются 3-4 неточности в использовании понятийного материала, небольшие ошибки в обобщениях и выводах, не влияющие на хороший общий уровень задания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CCD42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Выводы о применении установленных научных правил неточны и неубедительны, имеются стилистические и грамматические ошибки, а также недостаточная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B156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выполнено с грубыми ошибками, ответы на вопросы неполные, концептуальные материалы и аргументация использованы плохо.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20BB46" w14:textId="77777777" w:rsidR="007C17BC" w:rsidRPr="000D3944" w:rsidRDefault="007C17BC" w:rsidP="007726DE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не было выполнено, ответы на вопросы отсутствовали, материалы и инструменты анализа не использовались. Нарушение правил итогового контроля. </w:t>
            </w:r>
          </w:p>
        </w:tc>
      </w:tr>
    </w:tbl>
    <w:p w14:paraId="3EFF2606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25CD2B92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5A018120" w14:textId="77777777" w:rsid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16D830BD" w14:textId="77777777" w:rsidR="007C17BC" w:rsidRPr="007C17BC" w:rsidRDefault="007C17BC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val="kk-KZ"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Pr="00A65D65" w:rsidRDefault="00D43CAF" w:rsidP="0025320E">
      <w:pPr>
        <w:tabs>
          <w:tab w:val="left" w:pos="284"/>
          <w:tab w:val="left" w:pos="851"/>
        </w:tabs>
        <w:ind w:firstLine="567"/>
      </w:pPr>
    </w:p>
    <w:sectPr w:rsidR="00D43CAF" w:rsidRPr="00A65D65" w:rsidSect="007C17BC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90973"/>
    <w:rsid w:val="00512A3C"/>
    <w:rsid w:val="00523664"/>
    <w:rsid w:val="005237E4"/>
    <w:rsid w:val="005405CC"/>
    <w:rsid w:val="00612ED7"/>
    <w:rsid w:val="00707BD4"/>
    <w:rsid w:val="00747EE5"/>
    <w:rsid w:val="00761428"/>
    <w:rsid w:val="007650C5"/>
    <w:rsid w:val="00782B2D"/>
    <w:rsid w:val="007B1D74"/>
    <w:rsid w:val="007C17BC"/>
    <w:rsid w:val="007D01F0"/>
    <w:rsid w:val="007D4640"/>
    <w:rsid w:val="00810D13"/>
    <w:rsid w:val="00834F72"/>
    <w:rsid w:val="00874E74"/>
    <w:rsid w:val="00897C0C"/>
    <w:rsid w:val="008A1F20"/>
    <w:rsid w:val="008C3C3D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8</cp:revision>
  <dcterms:created xsi:type="dcterms:W3CDTF">2023-03-09T04:01:00Z</dcterms:created>
  <dcterms:modified xsi:type="dcterms:W3CDTF">2025-04-02T03:36:00Z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